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laulības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Līguma 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Dzīvesvietas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Dzīvesvietas adrese: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nosaka laulāto mantiskās attiecības, īpašuma sadali un citus ar laulību saistītus jautājumus.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Kopīpašums: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Atsevišķais īpašums: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Laulātie vienojas par šādām mantiskajām saistībām: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Laulātie vienojas par šādu mantisko atbildību: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Bērnu aprūpe un uzturēšana: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grozījumi: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tā parakstīšanas brīdi un ir spēkā līdz izbeigšanai pēc pušu vienošanās vai tiesas nolēmuma.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Vīrs: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Sieviete: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Apliecinu, ka esmu iepazinies ar Līguma saturu un piekrītu tā noteikumiem.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Apliecinātāja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Apliecinātāja 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